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BF" w:rsidRPr="00333FBF" w:rsidRDefault="00D21274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pitanja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zakonodavstvo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56.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sednici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održanoj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6.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septembra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godine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utvrdio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nacrta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ustavnog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sprovođenje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Amandmana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Republike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Srbije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biti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predstavljen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javnim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slušanjima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koja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će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organizovati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Odbor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ustavna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pitanja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zakonodavstvo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sledećem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tekstu</w:t>
      </w:r>
      <w:r w:rsidR="00333FBF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NACRT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SPROVOĐENjE</w:t>
      </w: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XX</w:t>
      </w:r>
      <w:r w:rsidR="00D7704D" w:rsidRPr="00333FBF">
        <w:rPr>
          <w:rFonts w:ascii="Times New Roman" w:hAnsi="Times New Roman" w:cs="Times New Roman"/>
          <w:sz w:val="26"/>
          <w:szCs w:val="26"/>
          <w:lang w:val="sr-Latn-RS"/>
        </w:rPr>
        <w:t>X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Ustav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daljem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Amandmani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primenjuju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proglasi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pogledu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primene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pojedinih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2.</w:t>
      </w:r>
    </w:p>
    <w:p w:rsidR="00F8299D" w:rsidRPr="00333FBF" w:rsidRDefault="00D21274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usklađivanja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uređene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organizacija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položaj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3.</w:t>
      </w:r>
    </w:p>
    <w:p w:rsidR="00F8299D" w:rsidRPr="00333FBF" w:rsidRDefault="00D21274" w:rsidP="00F8299D">
      <w:pPr>
        <w:pStyle w:val="auto-style37"/>
        <w:spacing w:before="0" w:beforeAutospacing="0" w:after="120" w:afterAutospacing="0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sudijama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uređenju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sudova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tužilaštvu</w:t>
      </w:r>
      <w:r w:rsidR="00F8299D" w:rsidRPr="00333F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sudstva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Državnom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tužilaca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uskladiće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Amandmanima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roku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godinu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>dana</w:t>
      </w:r>
      <w:r w:rsidR="00F8299D" w:rsidRPr="00333FBF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stupanja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snagu</w:t>
      </w:r>
      <w:r w:rsidR="00F8299D" w:rsidRPr="00333F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Amandmana</w:t>
      </w:r>
      <w:r w:rsidR="00F8299D"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pStyle w:val="auto-style37"/>
        <w:spacing w:before="0" w:beforeAutospacing="0" w:after="12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</w:r>
      <w:r w:rsidR="00D21274">
        <w:rPr>
          <w:sz w:val="26"/>
          <w:szCs w:val="26"/>
          <w:lang w:val="sr-Cyrl-RS"/>
        </w:rPr>
        <w:t>Odredbe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drugih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zakona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uskladiće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se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sa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Amandmanima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u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roku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od</w:t>
      </w:r>
      <w:r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dve</w:t>
      </w:r>
      <w:r w:rsidR="00333FBF" w:rsidRPr="00333FBF">
        <w:rPr>
          <w:sz w:val="26"/>
          <w:szCs w:val="26"/>
          <w:lang w:val="sr-Cyrl-RS"/>
        </w:rPr>
        <w:t xml:space="preserve"> </w:t>
      </w:r>
      <w:r w:rsidR="00D21274">
        <w:rPr>
          <w:sz w:val="26"/>
          <w:szCs w:val="26"/>
          <w:lang w:val="sr-Cyrl-RS"/>
        </w:rPr>
        <w:t>godine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4.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biće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tih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D21274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15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5. </w:t>
      </w:r>
    </w:p>
    <w:p w:rsidR="00F8299D" w:rsidRPr="00333FBF" w:rsidRDefault="00F8299D" w:rsidP="00333FBF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važili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vreme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D21274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postojećeg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saziva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ostalih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D21274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sudijama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konstituisanja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Visokog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ako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ovim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zakonom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drugačije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određeno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F8299D"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sudsko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kasacionom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D21274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tužilačko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osoblje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Republičkom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F8299D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sudovima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D21274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tužilaštvima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D21274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D21274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zamenici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koji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smatraju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izabranim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stalnu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sudije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čemu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odluku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donosi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Visoki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savet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sudstva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odnosno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Državno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veće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tužilaca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Narodna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skupština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nastavlja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bira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zamenike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javnih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prvi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put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do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konstituisanja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novi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sazivi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sudstva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i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Visokog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saveta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tužilaca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konstatuju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da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njihova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funkcija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postaje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stalna</w:t>
      </w:r>
      <w:r w:rsidR="00360C31"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="00F8299D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kasacionog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</w:t>
      </w:r>
      <w:r>
        <w:rPr>
          <w:rFonts w:ascii="Times New Roman" w:hAnsi="Times New Roman" w:cs="Times New Roman"/>
          <w:sz w:val="26"/>
          <w:szCs w:val="26"/>
          <w:lang w:val="sr-Cyrl-RS"/>
        </w:rPr>
        <w:t>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biran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Vrhovnog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333FB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lastRenderedPageBreak/>
        <w:t>Predsednici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sudova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333F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stupanja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nastavlja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vrši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Vrhovni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tužilac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može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biran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funkciju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Vrhovnog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javnog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njegov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D21274" w:rsidP="00F82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tužioci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stupanja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nastavljaju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vrše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mogu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biti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birani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funkciju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tužioca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rukovodi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javnom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tužilaštvu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usklađuje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A03087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amandmanima</w:t>
      </w:r>
      <w:r w:rsidR="00A03087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D21274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F8299D"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Ovaj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ustavni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zakon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stupa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snagu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danom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proglašenja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Narodne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D21274">
        <w:rPr>
          <w:rFonts w:ascii="Times New Roman" w:eastAsia="Times New Roman" w:hAnsi="Times New Roman" w:cs="Times New Roman"/>
          <w:sz w:val="26"/>
          <w:szCs w:val="26"/>
          <w:lang w:val="sr-Cyrl-RS"/>
        </w:rPr>
        <w:t>skupštine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4B" w:rsidRDefault="00FA4E4B">
      <w:pPr>
        <w:spacing w:after="0" w:line="240" w:lineRule="auto"/>
      </w:pPr>
      <w:r>
        <w:separator/>
      </w:r>
    </w:p>
  </w:endnote>
  <w:endnote w:type="continuationSeparator" w:id="0">
    <w:p w:rsidR="00FA4E4B" w:rsidRDefault="00FA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74" w:rsidRDefault="00D21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2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FA4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74" w:rsidRDefault="00D21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4B" w:rsidRDefault="00FA4E4B">
      <w:pPr>
        <w:spacing w:after="0" w:line="240" w:lineRule="auto"/>
      </w:pPr>
      <w:r>
        <w:separator/>
      </w:r>
    </w:p>
  </w:footnote>
  <w:footnote w:type="continuationSeparator" w:id="0">
    <w:p w:rsidR="00FA4E4B" w:rsidRDefault="00FA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74" w:rsidRDefault="00D21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74" w:rsidRDefault="00D21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74" w:rsidRDefault="00D21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A7956"/>
    <w:rsid w:val="000E3361"/>
    <w:rsid w:val="001B1566"/>
    <w:rsid w:val="00302430"/>
    <w:rsid w:val="00333FBF"/>
    <w:rsid w:val="00360C31"/>
    <w:rsid w:val="00366B27"/>
    <w:rsid w:val="00403833"/>
    <w:rsid w:val="0049404F"/>
    <w:rsid w:val="00A03087"/>
    <w:rsid w:val="00A14886"/>
    <w:rsid w:val="00AB0690"/>
    <w:rsid w:val="00C55609"/>
    <w:rsid w:val="00CD356C"/>
    <w:rsid w:val="00D21274"/>
    <w:rsid w:val="00D439E2"/>
    <w:rsid w:val="00D7704D"/>
    <w:rsid w:val="00E07636"/>
    <w:rsid w:val="00E4244B"/>
    <w:rsid w:val="00E70560"/>
    <w:rsid w:val="00F8299D"/>
    <w:rsid w:val="00F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7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Nikola Pavic</cp:lastModifiedBy>
  <cp:revision>2</cp:revision>
  <dcterms:created xsi:type="dcterms:W3CDTF">2021-12-09T12:14:00Z</dcterms:created>
  <dcterms:modified xsi:type="dcterms:W3CDTF">2021-12-09T12:14:00Z</dcterms:modified>
</cp:coreProperties>
</file>